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782C0" w14:textId="77777777" w:rsidR="0070521E" w:rsidRDefault="0070521E" w:rsidP="0070521E">
      <w:pPr>
        <w:ind w:left="-360" w:right="-360"/>
        <w:jc w:val="center"/>
        <w:rPr>
          <w:rFonts w:eastAsiaTheme="minorEastAsia" w:cstheme="minorBidi"/>
          <w:noProof w:val="0"/>
          <w:color w:val="C45911" w:themeColor="accent2" w:themeShade="BF"/>
          <w:sz w:val="48"/>
          <w:szCs w:val="48"/>
        </w:rPr>
      </w:pPr>
    </w:p>
    <w:p w14:paraId="115FD5D0" w14:textId="0B241AC3" w:rsidR="005F08EA" w:rsidRPr="00435CF5" w:rsidRDefault="0070521E" w:rsidP="00435CF5">
      <w:pPr>
        <w:spacing w:after="360"/>
        <w:ind w:left="-360" w:right="-360"/>
        <w:jc w:val="center"/>
        <w:rPr>
          <w:rFonts w:eastAsiaTheme="minorEastAsia" w:cstheme="minorBidi"/>
          <w:noProof w:val="0"/>
          <w:color w:val="C45911" w:themeColor="accent2" w:themeShade="BF"/>
          <w:sz w:val="48"/>
          <w:szCs w:val="48"/>
        </w:rPr>
      </w:pPr>
      <w:r w:rsidRPr="0070521E">
        <w:rPr>
          <w:rFonts w:eastAsiaTheme="minorEastAsia" w:cstheme="minorBidi"/>
          <w:b/>
          <w:noProof w:val="0"/>
          <w:color w:val="C45911" w:themeColor="accent2" w:themeShade="BF"/>
          <w:sz w:val="48"/>
          <w:szCs w:val="48"/>
        </w:rPr>
        <w:t>COPY</w:t>
      </w:r>
      <w:r w:rsidR="005F08EA" w:rsidRPr="0070521E">
        <w:rPr>
          <w:rFonts w:eastAsiaTheme="minorEastAsia" w:cstheme="minorBidi"/>
          <w:noProof w:val="0"/>
          <w:color w:val="C45911" w:themeColor="accent2" w:themeShade="BF"/>
          <w:sz w:val="48"/>
          <w:szCs w:val="48"/>
        </w:rPr>
        <w:t xml:space="preserve"> STYLE GUIDE</w:t>
      </w:r>
    </w:p>
    <w:p w14:paraId="249A38B3" w14:textId="77777777" w:rsidR="00F45C24" w:rsidRDefault="00F45C24" w:rsidP="00F45C24">
      <w:pPr>
        <w:numPr>
          <w:ilvl w:val="0"/>
          <w:numId w:val="5"/>
        </w:numPr>
        <w:tabs>
          <w:tab w:val="clear" w:pos="360"/>
          <w:tab w:val="num" w:pos="270"/>
        </w:tabs>
        <w:spacing w:before="120"/>
        <w:ind w:left="279" w:hanging="279"/>
      </w:pPr>
      <w:r>
        <w:t xml:space="preserve">Do not use the series comma. (E.g., “I have a bike, a car and a truck” rather than “…a bike, a car, and a truck.”) With few exceptions, we only use a comma after “and” if it is followed by a new subject-verb pairing. </w:t>
      </w:r>
    </w:p>
    <w:p w14:paraId="4B7DDDFA" w14:textId="77777777" w:rsidR="005F08EA" w:rsidRDefault="005F08EA" w:rsidP="00F45C24">
      <w:pPr>
        <w:numPr>
          <w:ilvl w:val="0"/>
          <w:numId w:val="5"/>
        </w:numPr>
        <w:tabs>
          <w:tab w:val="clear" w:pos="360"/>
          <w:tab w:val="num" w:pos="270"/>
        </w:tabs>
        <w:spacing w:before="120"/>
        <w:ind w:left="279" w:hanging="279"/>
      </w:pPr>
      <w:r>
        <w:t>Do not superscript ordinals. Good = 1st. Bad = 1</w:t>
      </w:r>
      <w:r w:rsidRPr="00F54D8B">
        <w:rPr>
          <w:vertAlign w:val="superscript"/>
        </w:rPr>
        <w:t>st</w:t>
      </w:r>
      <w:r w:rsidR="00F45C24">
        <w:t>.</w:t>
      </w:r>
    </w:p>
    <w:p w14:paraId="36B9AD71" w14:textId="77777777" w:rsidR="005F08EA" w:rsidRDefault="005F08EA" w:rsidP="00F45C24">
      <w:pPr>
        <w:numPr>
          <w:ilvl w:val="0"/>
          <w:numId w:val="5"/>
        </w:numPr>
        <w:tabs>
          <w:tab w:val="clear" w:pos="360"/>
          <w:tab w:val="num" w:pos="270"/>
        </w:tabs>
        <w:spacing w:before="120"/>
        <w:ind w:left="279" w:hanging="279"/>
      </w:pPr>
      <w:r>
        <w:t>3D, not 3-D</w:t>
      </w:r>
      <w:r w:rsidR="00F45C24">
        <w:t>.</w:t>
      </w:r>
    </w:p>
    <w:p w14:paraId="0C3F97EE" w14:textId="46E4EF29" w:rsidR="005F08EA" w:rsidRDefault="005F08EA" w:rsidP="00F45C24">
      <w:pPr>
        <w:numPr>
          <w:ilvl w:val="0"/>
          <w:numId w:val="5"/>
        </w:numPr>
        <w:tabs>
          <w:tab w:val="clear" w:pos="360"/>
          <w:tab w:val="num" w:pos="270"/>
        </w:tabs>
        <w:spacing w:before="120"/>
        <w:ind w:left="279" w:hanging="279"/>
      </w:pPr>
      <w:r>
        <w:t xml:space="preserve">Numbers below 10 are spelled out in English. Numbers 10 and above are Arabic (1,2,3,4...). </w:t>
      </w:r>
      <w:r w:rsidR="00D22E3A">
        <w:t>EXCEPTION: Date- and time-related numbers. So, 4 years, 3 months, 2 weeks, 1 day.</w:t>
      </w:r>
    </w:p>
    <w:p w14:paraId="7EB42AB2" w14:textId="77777777" w:rsidR="005F08EA" w:rsidRDefault="005F08EA" w:rsidP="00F45C24">
      <w:pPr>
        <w:numPr>
          <w:ilvl w:val="0"/>
          <w:numId w:val="5"/>
        </w:numPr>
        <w:tabs>
          <w:tab w:val="clear" w:pos="360"/>
          <w:tab w:val="num" w:pos="270"/>
        </w:tabs>
        <w:spacing w:before="120"/>
        <w:ind w:left="279" w:hanging="279"/>
      </w:pPr>
      <w:r>
        <w:t>Punctuation goes inside of quotation marks. (E.g., Such tissues are scraped intentionally to remove cells, which we call “abrasion.’”)</w:t>
      </w:r>
      <w:r w:rsidR="00F45C24">
        <w:t>.</w:t>
      </w:r>
    </w:p>
    <w:p w14:paraId="60D6F96E" w14:textId="77777777" w:rsidR="005F08EA" w:rsidRDefault="005F08EA">
      <w:pPr>
        <w:numPr>
          <w:ilvl w:val="0"/>
          <w:numId w:val="5"/>
        </w:numPr>
        <w:tabs>
          <w:tab w:val="clear" w:pos="360"/>
          <w:tab w:val="num" w:pos="270"/>
        </w:tabs>
        <w:spacing w:before="120"/>
        <w:ind w:left="279" w:hanging="279"/>
      </w:pPr>
      <w:r>
        <w:t xml:space="preserve">Do not capitalize specialties, illnesses, conditions, positions or anything that isn’t a proper noun. </w:t>
      </w:r>
    </w:p>
    <w:p w14:paraId="322BDA16" w14:textId="57B7DB9F" w:rsidR="005F08EA" w:rsidRDefault="005F08EA">
      <w:pPr>
        <w:numPr>
          <w:ilvl w:val="0"/>
          <w:numId w:val="5"/>
        </w:numPr>
        <w:tabs>
          <w:tab w:val="clear" w:pos="360"/>
          <w:tab w:val="num" w:pos="270"/>
        </w:tabs>
        <w:spacing w:before="120"/>
        <w:ind w:left="279" w:hanging="279"/>
      </w:pPr>
      <w:r>
        <w:t xml:space="preserve">Titles are only capitalized when used as the title. (E.g, Dr. Smith is a doctor and medical director of X. Also, President </w:t>
      </w:r>
      <w:r w:rsidR="00D22E3A">
        <w:t xml:space="preserve">Donald J. Trump </w:t>
      </w:r>
      <w:r>
        <w:t>is the president.) Some diseases and procedures are proper nouns, like Pap smear and Barrett’s Esophagus. But most are all lower-case, such as cancer, emphysema, headache, club foot, stroke, etc. Also, surgery, excision, therapy, removal, implantation, laminectomy, craniotomy and so on.</w:t>
      </w:r>
    </w:p>
    <w:p w14:paraId="575A51C3" w14:textId="77777777" w:rsidR="005F08EA" w:rsidRDefault="005F08EA">
      <w:pPr>
        <w:numPr>
          <w:ilvl w:val="0"/>
          <w:numId w:val="5"/>
        </w:numPr>
        <w:tabs>
          <w:tab w:val="clear" w:pos="360"/>
          <w:tab w:val="num" w:pos="270"/>
        </w:tabs>
        <w:spacing w:before="120"/>
        <w:ind w:left="279" w:hanging="279"/>
      </w:pPr>
      <w:r>
        <w:t xml:space="preserve">Like suffixes, prefixes do not automatically make a word hyphenated. Use “noninvasive” rather than “non-invasive.” Use “postsurgical” rather than “post-surgical.” Most prefixes do NOT have a hyphen. Examples: “restore,” “reserve,” “nonplussed,” “reestablish.”). </w:t>
      </w:r>
      <w:r w:rsidR="00D22E3A">
        <w:t xml:space="preserve">When in doubt, look it up. </w:t>
      </w:r>
    </w:p>
    <w:p w14:paraId="3EFF8287" w14:textId="4624F860" w:rsidR="005F08EA" w:rsidRDefault="00D22E3A">
      <w:pPr>
        <w:numPr>
          <w:ilvl w:val="0"/>
          <w:numId w:val="5"/>
        </w:numPr>
        <w:tabs>
          <w:tab w:val="clear" w:pos="360"/>
          <w:tab w:val="num" w:pos="270"/>
        </w:tabs>
        <w:spacing w:before="120"/>
        <w:ind w:left="279" w:hanging="279"/>
      </w:pPr>
      <w:r>
        <w:t xml:space="preserve">Don’t start </w:t>
      </w:r>
      <w:r w:rsidR="005F08EA">
        <w:t>sentences with “but” and “and</w:t>
      </w:r>
      <w:r w:rsidR="00435CF5">
        <w:t>.</w:t>
      </w:r>
      <w:r w:rsidR="005F08EA">
        <w:t xml:space="preserve">” </w:t>
      </w:r>
      <w:r>
        <w:t>While t</w:t>
      </w:r>
      <w:r w:rsidR="005F08EA">
        <w:t xml:space="preserve">hey </w:t>
      </w:r>
      <w:r>
        <w:t>can help achieve</w:t>
      </w:r>
      <w:r w:rsidR="005F08EA">
        <w:t xml:space="preserve"> a conversational tone (a primary </w:t>
      </w:r>
      <w:r>
        <w:t>HS goal</w:t>
      </w:r>
      <w:r w:rsidR="005F08EA">
        <w:t>)</w:t>
      </w:r>
      <w:r>
        <w:t xml:space="preserve">, they have proven to be not worth the trouble they can cause with clients. Avoid them except in the rarest occasions, and never use them in B2C pieces. </w:t>
      </w:r>
    </w:p>
    <w:p w14:paraId="6B3F42F7" w14:textId="77777777" w:rsidR="005F08EA" w:rsidRDefault="005F08EA">
      <w:pPr>
        <w:numPr>
          <w:ilvl w:val="0"/>
          <w:numId w:val="5"/>
        </w:numPr>
        <w:tabs>
          <w:tab w:val="clear" w:pos="360"/>
          <w:tab w:val="num" w:pos="270"/>
        </w:tabs>
        <w:spacing w:before="120"/>
        <w:ind w:left="279" w:hanging="279"/>
      </w:pPr>
      <w:r>
        <w:t>When using dashes for appositives, use an emdash (—). Only use an endash (–) for very wide typeface for which emdashes are simply too wide.</w:t>
      </w:r>
      <w:r w:rsidR="00D22E3A">
        <w:t xml:space="preserve"> Never include a space before or after the emdash. </w:t>
      </w:r>
    </w:p>
    <w:p w14:paraId="74F8FA55" w14:textId="50D0CC4D" w:rsidR="005F08EA" w:rsidRDefault="005F08EA">
      <w:pPr>
        <w:numPr>
          <w:ilvl w:val="0"/>
          <w:numId w:val="5"/>
        </w:numPr>
        <w:tabs>
          <w:tab w:val="clear" w:pos="360"/>
          <w:tab w:val="num" w:pos="270"/>
        </w:tabs>
        <w:spacing w:before="120"/>
        <w:ind w:left="279" w:hanging="279"/>
      </w:pPr>
      <w:r>
        <w:t>Hyphenate compound adjectives</w:t>
      </w:r>
      <w:r w:rsidR="00D22E3A">
        <w:t xml:space="preserve"> when the meaning would be unclear or awkward without the hyphen. Do not hyphenate compound adjectives when the hyphen will add awkwardness.</w:t>
      </w:r>
    </w:p>
    <w:p w14:paraId="0EA891C8" w14:textId="77777777" w:rsidR="005F08EA" w:rsidRDefault="005F08EA">
      <w:pPr>
        <w:numPr>
          <w:ilvl w:val="0"/>
          <w:numId w:val="5"/>
        </w:numPr>
        <w:tabs>
          <w:tab w:val="clear" w:pos="360"/>
          <w:tab w:val="num" w:pos="270"/>
        </w:tabs>
        <w:spacing w:before="120"/>
        <w:ind w:left="279" w:hanging="279"/>
      </w:pPr>
      <w:r>
        <w:t>Italicize journals, newspapers and magazines</w:t>
      </w:r>
      <w:r w:rsidR="00F45C24">
        <w:t>.</w:t>
      </w:r>
    </w:p>
    <w:p w14:paraId="73ED65B8" w14:textId="77777777" w:rsidR="005F08EA" w:rsidRDefault="005F08EA">
      <w:pPr>
        <w:numPr>
          <w:ilvl w:val="0"/>
          <w:numId w:val="5"/>
        </w:numPr>
        <w:tabs>
          <w:tab w:val="clear" w:pos="360"/>
          <w:tab w:val="num" w:pos="270"/>
        </w:tabs>
        <w:spacing w:before="120"/>
        <w:ind w:left="279" w:hanging="279"/>
      </w:pPr>
      <w:r>
        <w:t xml:space="preserve">One space after periods, not two. </w:t>
      </w:r>
      <w:r>
        <w:rPr>
          <w:i/>
        </w:rPr>
        <w:t>Be sure to run a find/replace to change two spaces to just one.</w:t>
      </w:r>
    </w:p>
    <w:p w14:paraId="7564294B" w14:textId="0A6CC5B0" w:rsidR="005F08EA" w:rsidRDefault="005F08EA">
      <w:pPr>
        <w:numPr>
          <w:ilvl w:val="0"/>
          <w:numId w:val="5"/>
        </w:numPr>
        <w:tabs>
          <w:tab w:val="clear" w:pos="360"/>
          <w:tab w:val="num" w:pos="270"/>
        </w:tabs>
        <w:spacing w:before="120"/>
        <w:ind w:left="279" w:hanging="279"/>
      </w:pPr>
      <w:r>
        <w:t>Do not use the periods in MD, DO, DDS, PT, DPT, PhD, AuD, etc.,</w:t>
      </w:r>
      <w:r w:rsidR="00D22E3A">
        <w:t xml:space="preserve"> except when it is requested or a stated </w:t>
      </w:r>
      <w:r w:rsidR="00435CF5">
        <w:t xml:space="preserve">client </w:t>
      </w:r>
      <w:r w:rsidR="00D22E3A">
        <w:t>preference.</w:t>
      </w:r>
      <w:r>
        <w:t xml:space="preserve"> Do use the peri</w:t>
      </w:r>
      <w:r w:rsidR="00F45C24">
        <w:t xml:space="preserve">ods in Dr., Jr., Mr., Mrs.. etc. </w:t>
      </w:r>
    </w:p>
    <w:p w14:paraId="1E91205A" w14:textId="3A85D7D4" w:rsidR="005F08EA" w:rsidRDefault="005F08EA">
      <w:pPr>
        <w:numPr>
          <w:ilvl w:val="0"/>
          <w:numId w:val="5"/>
        </w:numPr>
        <w:tabs>
          <w:tab w:val="clear" w:pos="360"/>
          <w:tab w:val="num" w:pos="270"/>
        </w:tabs>
        <w:spacing w:before="120"/>
        <w:ind w:left="279" w:hanging="279"/>
      </w:pPr>
      <w:r>
        <w:t>Avoid using semicolons, including using them correctly</w:t>
      </w:r>
      <w:r w:rsidR="00F45C24">
        <w:t>.</w:t>
      </w:r>
      <w:r w:rsidR="00435CF5">
        <w:t xml:space="preserve"> They blow people’s minds</w:t>
      </w:r>
    </w:p>
    <w:p w14:paraId="5F53CB19" w14:textId="6514289F" w:rsidR="005F08EA" w:rsidRDefault="005F08EA">
      <w:pPr>
        <w:numPr>
          <w:ilvl w:val="0"/>
          <w:numId w:val="5"/>
        </w:numPr>
        <w:tabs>
          <w:tab w:val="clear" w:pos="360"/>
          <w:tab w:val="num" w:pos="270"/>
        </w:tabs>
        <w:spacing w:before="120"/>
        <w:ind w:left="279" w:hanging="279"/>
      </w:pPr>
      <w:r>
        <w:t xml:space="preserve">Contractions </w:t>
      </w:r>
      <w:r w:rsidR="00DB2219">
        <w:t xml:space="preserve">should be considered with utmost care. They have presented a lot of problems historically with clients. While they </w:t>
      </w:r>
      <w:r w:rsidR="00833355">
        <w:t>can contribute to the</w:t>
      </w:r>
      <w:r>
        <w:t xml:space="preserve"> conversational tone we need</w:t>
      </w:r>
      <w:r w:rsidR="00833355">
        <w:t>, they have largely been proven to not be worth it</w:t>
      </w:r>
      <w:r>
        <w:t xml:space="preserve">. </w:t>
      </w:r>
    </w:p>
    <w:p w14:paraId="2CA36410" w14:textId="77777777" w:rsidR="005F08EA" w:rsidRDefault="005F08EA">
      <w:pPr>
        <w:numPr>
          <w:ilvl w:val="0"/>
          <w:numId w:val="5"/>
        </w:numPr>
        <w:tabs>
          <w:tab w:val="clear" w:pos="360"/>
          <w:tab w:val="num" w:pos="270"/>
        </w:tabs>
        <w:spacing w:before="120"/>
        <w:ind w:left="279" w:hanging="279"/>
      </w:pPr>
      <w:r>
        <w:lastRenderedPageBreak/>
        <w:t xml:space="preserve">In headlines, when initial-caps are commonly used, do not capitalize articles these: </w:t>
      </w:r>
    </w:p>
    <w:p w14:paraId="13427575" w14:textId="77777777" w:rsidR="005F08EA" w:rsidRDefault="005F08EA">
      <w:pPr>
        <w:numPr>
          <w:ilvl w:val="0"/>
          <w:numId w:val="5"/>
        </w:numPr>
        <w:tabs>
          <w:tab w:val="clear" w:pos="360"/>
        </w:tabs>
        <w:ind w:left="1080" w:hanging="360"/>
        <w:rPr>
          <w:i/>
        </w:rPr>
      </w:pPr>
      <w:r>
        <w:rPr>
          <w:i/>
        </w:rPr>
        <w:t>a</w:t>
      </w:r>
    </w:p>
    <w:p w14:paraId="77A0D374" w14:textId="77777777" w:rsidR="005F08EA" w:rsidRDefault="005F08EA">
      <w:pPr>
        <w:numPr>
          <w:ilvl w:val="0"/>
          <w:numId w:val="5"/>
        </w:numPr>
        <w:tabs>
          <w:tab w:val="clear" w:pos="360"/>
        </w:tabs>
        <w:ind w:left="1080" w:hanging="360"/>
        <w:rPr>
          <w:i/>
        </w:rPr>
      </w:pPr>
      <w:r>
        <w:rPr>
          <w:i/>
        </w:rPr>
        <w:t>an</w:t>
      </w:r>
    </w:p>
    <w:p w14:paraId="6FDD140E" w14:textId="77777777" w:rsidR="005F08EA" w:rsidRDefault="005F08EA">
      <w:pPr>
        <w:numPr>
          <w:ilvl w:val="0"/>
          <w:numId w:val="5"/>
        </w:numPr>
        <w:tabs>
          <w:tab w:val="clear" w:pos="360"/>
        </w:tabs>
        <w:ind w:left="1080" w:hanging="360"/>
        <w:rPr>
          <w:i/>
        </w:rPr>
      </w:pPr>
      <w:r>
        <w:rPr>
          <w:i/>
        </w:rPr>
        <w:t>the</w:t>
      </w:r>
    </w:p>
    <w:p w14:paraId="0F57544D" w14:textId="77777777" w:rsidR="005F08EA" w:rsidRDefault="005F08EA">
      <w:pPr>
        <w:numPr>
          <w:ilvl w:val="0"/>
          <w:numId w:val="5"/>
        </w:numPr>
        <w:tabs>
          <w:tab w:val="clear" w:pos="360"/>
        </w:tabs>
        <w:ind w:left="1080" w:hanging="360"/>
        <w:rPr>
          <w:i/>
        </w:rPr>
      </w:pPr>
      <w:r>
        <w:rPr>
          <w:i/>
        </w:rPr>
        <w:t>to</w:t>
      </w:r>
      <w:bookmarkStart w:id="0" w:name="_GoBack"/>
      <w:bookmarkEnd w:id="0"/>
    </w:p>
    <w:p w14:paraId="2449C127" w14:textId="77777777" w:rsidR="005F08EA" w:rsidRDefault="005F08EA">
      <w:pPr>
        <w:numPr>
          <w:ilvl w:val="0"/>
          <w:numId w:val="5"/>
        </w:numPr>
        <w:tabs>
          <w:tab w:val="clear" w:pos="360"/>
        </w:tabs>
        <w:ind w:left="1080" w:hanging="360"/>
        <w:rPr>
          <w:i/>
        </w:rPr>
      </w:pPr>
      <w:r>
        <w:rPr>
          <w:i/>
        </w:rPr>
        <w:t>on</w:t>
      </w:r>
    </w:p>
    <w:p w14:paraId="3C83AAF8" w14:textId="77777777" w:rsidR="005F08EA" w:rsidRDefault="005F08EA">
      <w:pPr>
        <w:numPr>
          <w:ilvl w:val="0"/>
          <w:numId w:val="5"/>
        </w:numPr>
        <w:tabs>
          <w:tab w:val="clear" w:pos="360"/>
        </w:tabs>
        <w:ind w:left="1080" w:hanging="360"/>
        <w:rPr>
          <w:i/>
        </w:rPr>
      </w:pPr>
      <w:r>
        <w:rPr>
          <w:i/>
        </w:rPr>
        <w:t>for</w:t>
      </w:r>
    </w:p>
    <w:p w14:paraId="2242AF9B" w14:textId="77777777" w:rsidR="005F08EA" w:rsidRDefault="00146AC4" w:rsidP="00F54D8B">
      <w:pPr>
        <w:numPr>
          <w:ilvl w:val="0"/>
          <w:numId w:val="5"/>
        </w:numPr>
        <w:tabs>
          <w:tab w:val="clear" w:pos="360"/>
          <w:tab w:val="num" w:pos="270"/>
        </w:tabs>
        <w:spacing w:before="120"/>
        <w:ind w:left="279" w:hanging="279"/>
      </w:pPr>
      <w:r>
        <w:t>Words that end in –ly do not require a hyphen after them. E.g.: minimally invasive, not minimally-invasive; highly trained, not highly-trained</w:t>
      </w:r>
      <w:r w:rsidR="00833355">
        <w:t>.</w:t>
      </w:r>
    </w:p>
    <w:p w14:paraId="73579A08" w14:textId="77777777" w:rsidR="00833355" w:rsidRDefault="00833355">
      <w:pPr>
        <w:spacing w:before="60"/>
        <w:jc w:val="center"/>
        <w:rPr>
          <w:rFonts w:cs="Arial"/>
          <w:i/>
          <w:color w:val="808080"/>
          <w:szCs w:val="22"/>
        </w:rPr>
      </w:pPr>
    </w:p>
    <w:p w14:paraId="02BD251D" w14:textId="77777777" w:rsidR="005F08EA" w:rsidRDefault="005F08EA">
      <w:pPr>
        <w:spacing w:before="60"/>
        <w:jc w:val="center"/>
        <w:rPr>
          <w:rFonts w:cs="Arial"/>
          <w:i/>
          <w:color w:val="808080"/>
          <w:szCs w:val="22"/>
        </w:rPr>
      </w:pPr>
      <w:r>
        <w:rPr>
          <w:rFonts w:cs="Arial"/>
          <w:i/>
          <w:color w:val="808080"/>
          <w:szCs w:val="22"/>
        </w:rPr>
        <w:t xml:space="preserve">– end – </w:t>
      </w:r>
    </w:p>
    <w:p w14:paraId="2D4574EC" w14:textId="77777777" w:rsidR="005F08EA" w:rsidRDefault="005F08EA">
      <w:pPr>
        <w:spacing w:before="60"/>
        <w:ind w:left="-360"/>
        <w:jc w:val="center"/>
        <w:rPr>
          <w:rFonts w:cs="Arial"/>
          <w:i/>
          <w:color w:val="808080"/>
          <w:szCs w:val="22"/>
        </w:rPr>
      </w:pPr>
    </w:p>
    <w:p w14:paraId="5CA33BBB" w14:textId="77777777" w:rsidR="005F08EA" w:rsidRDefault="005F08EA">
      <w:pPr>
        <w:spacing w:before="60"/>
        <w:ind w:left="-360"/>
        <w:jc w:val="center"/>
        <w:rPr>
          <w:rFonts w:cs="Arial"/>
          <w:i/>
          <w:color w:val="808080"/>
          <w:szCs w:val="22"/>
        </w:rPr>
      </w:pPr>
    </w:p>
    <w:p w14:paraId="7D37560A" w14:textId="77777777" w:rsidR="005F08EA" w:rsidRDefault="005F08EA">
      <w:pPr>
        <w:spacing w:before="60"/>
        <w:ind w:left="-360"/>
        <w:jc w:val="center"/>
        <w:rPr>
          <w:rFonts w:cs="Arial"/>
          <w:i/>
          <w:color w:val="808080"/>
          <w:szCs w:val="22"/>
        </w:rPr>
      </w:pPr>
    </w:p>
    <w:sectPr w:rsidR="005F08EA">
      <w:headerReference w:type="default" r:id="rId7"/>
      <w:headerReference w:type="first" r:id="rId8"/>
      <w:footerReference w:type="first" r:id="rId9"/>
      <w:pgSz w:w="12240" w:h="15840"/>
      <w:pgMar w:top="1440" w:right="1440" w:bottom="15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6D6B6" w14:textId="77777777" w:rsidR="008B17E8" w:rsidRDefault="008B17E8">
      <w:r>
        <w:separator/>
      </w:r>
    </w:p>
  </w:endnote>
  <w:endnote w:type="continuationSeparator" w:id="0">
    <w:p w14:paraId="554528A3" w14:textId="77777777" w:rsidR="008B17E8" w:rsidRDefault="008B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3F75A" w14:textId="1CE8A2E7" w:rsidR="005F08EA" w:rsidRDefault="005F08EA">
    <w:pPr>
      <w:pStyle w:val="Header"/>
      <w:tabs>
        <w:tab w:val="clear" w:pos="4320"/>
        <w:tab w:val="clear" w:pos="8640"/>
        <w:tab w:val="center" w:pos="4680"/>
        <w:tab w:val="right" w:pos="9360"/>
      </w:tabs>
      <w:ind w:left="-360" w:right="-360"/>
      <w:rPr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46D84" w14:textId="77777777" w:rsidR="008B17E8" w:rsidRDefault="008B17E8">
      <w:r>
        <w:separator/>
      </w:r>
    </w:p>
  </w:footnote>
  <w:footnote w:type="continuationSeparator" w:id="0">
    <w:p w14:paraId="2EE2FB72" w14:textId="77777777" w:rsidR="008B17E8" w:rsidRDefault="008B1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D450F" w14:textId="23BE3A28" w:rsidR="005F08EA" w:rsidRDefault="005F08EA">
    <w:pPr>
      <w:pStyle w:val="Header"/>
      <w:tabs>
        <w:tab w:val="clear" w:pos="4320"/>
        <w:tab w:val="clear" w:pos="8640"/>
        <w:tab w:val="center" w:pos="4680"/>
        <w:tab w:val="right" w:pos="9360"/>
      </w:tabs>
      <w:ind w:left="-360" w:right="-360"/>
      <w:rPr>
        <w:rFonts w:cs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832C7" w14:textId="10DCA8B3" w:rsidR="00681695" w:rsidRDefault="0070521E" w:rsidP="00681695">
    <w:pPr>
      <w:pStyle w:val="Header"/>
      <w:ind w:right="720"/>
      <w:jc w:val="center"/>
    </w:pPr>
    <w:r>
      <w:rPr>
        <w:rFonts w:cs="Arial"/>
        <w:color w:val="808080"/>
        <w:sz w:val="18"/>
        <w:szCs w:val="18"/>
      </w:rPr>
      <w:drawing>
        <wp:anchor distT="0" distB="0" distL="114300" distR="114300" simplePos="0" relativeHeight="251659264" behindDoc="1" locked="0" layoutInCell="1" allowOverlap="1" wp14:anchorId="7C408CC7" wp14:editId="202577E0">
          <wp:simplePos x="0" y="0"/>
          <wp:positionH relativeFrom="column">
            <wp:posOffset>1442720</wp:posOffset>
          </wp:positionH>
          <wp:positionV relativeFrom="paragraph">
            <wp:posOffset>-284480</wp:posOffset>
          </wp:positionV>
          <wp:extent cx="3054699" cy="859578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lthcareSuccessLogo_354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699" cy="859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93B2A"/>
    <w:multiLevelType w:val="hybridMultilevel"/>
    <w:tmpl w:val="1396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474AA"/>
    <w:multiLevelType w:val="hybridMultilevel"/>
    <w:tmpl w:val="7A1E33EE"/>
    <w:lvl w:ilvl="0" w:tplc="5372AC26">
      <w:start w:val="1"/>
      <w:numFmt w:val="bullet"/>
      <w:lvlText w:val=""/>
      <w:lvlJc w:val="left"/>
      <w:pPr>
        <w:tabs>
          <w:tab w:val="num" w:pos="360"/>
        </w:tabs>
        <w:ind w:left="199" w:hanging="199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515CF"/>
    <w:multiLevelType w:val="hybridMultilevel"/>
    <w:tmpl w:val="ED429B30"/>
    <w:lvl w:ilvl="0" w:tplc="045C903A">
      <w:start w:val="1"/>
      <w:numFmt w:val="bullet"/>
      <w:pStyle w:val="HSS-MG-BoxBullets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1CC2A2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3333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16A07"/>
    <w:multiLevelType w:val="hybridMultilevel"/>
    <w:tmpl w:val="C9463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25D54"/>
    <w:multiLevelType w:val="hybridMultilevel"/>
    <w:tmpl w:val="4454B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55CEB"/>
    <w:multiLevelType w:val="hybridMultilevel"/>
    <w:tmpl w:val="B6C0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24"/>
    <w:rsid w:val="00146AC4"/>
    <w:rsid w:val="00435CF5"/>
    <w:rsid w:val="005D2DE1"/>
    <w:rsid w:val="005E264C"/>
    <w:rsid w:val="005F08EA"/>
    <w:rsid w:val="00681695"/>
    <w:rsid w:val="0070521E"/>
    <w:rsid w:val="007377B7"/>
    <w:rsid w:val="007B48EF"/>
    <w:rsid w:val="00802F6E"/>
    <w:rsid w:val="00833355"/>
    <w:rsid w:val="008B17E8"/>
    <w:rsid w:val="00D22E3A"/>
    <w:rsid w:val="00D932BB"/>
    <w:rsid w:val="00DB2219"/>
    <w:rsid w:val="00F45C24"/>
    <w:rsid w:val="00F5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D52A2C"/>
  <w14:defaultImageDpi w14:val="300"/>
  <w15:chartTrackingRefBased/>
  <w15:docId w15:val="{8C87BD4A-593B-6A4B-9BD2-CD8F3FD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pPr>
      <w:ind w:left="720"/>
      <w:contextualSpacing/>
    </w:pPr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" w:eastAsia="Times New Roman" w:hAnsi="Times"/>
      <w:sz w:val="48"/>
      <w:szCs w:val="20"/>
    </w:rPr>
  </w:style>
  <w:style w:type="character" w:customStyle="1" w:styleId="TitleChar">
    <w:name w:val="Title Char"/>
    <w:rPr>
      <w:rFonts w:ascii="Times" w:eastAsia="Times New Roman" w:hAnsi="Times"/>
      <w:sz w:val="48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paragraph" w:customStyle="1" w:styleId="HSS-MG-Subsections">
    <w:name w:val="HSS-MG-Subsections"/>
    <w:basedOn w:val="Normal"/>
    <w:next w:val="Normal"/>
    <w:pPr>
      <w:keepNext/>
      <w:keepLines/>
      <w:pBdr>
        <w:left w:val="single" w:sz="12" w:space="4" w:color="auto"/>
        <w:bottom w:val="single" w:sz="12" w:space="1" w:color="auto"/>
      </w:pBdr>
      <w:shd w:val="clear" w:color="auto" w:fill="E6E6E6"/>
      <w:spacing w:before="240" w:after="120"/>
      <w:ind w:left="115"/>
    </w:pPr>
    <w:rPr>
      <w:rFonts w:eastAsia="Times New Roman"/>
      <w:b/>
      <w:bCs/>
      <w:sz w:val="28"/>
    </w:rPr>
  </w:style>
  <w:style w:type="paragraph" w:customStyle="1" w:styleId="HSS-MG-BoxBullets">
    <w:name w:val="HSS-MG-Box Bullets"/>
    <w:basedOn w:val="Normal"/>
    <w:pPr>
      <w:keepLines/>
      <w:numPr>
        <w:numId w:val="7"/>
      </w:numPr>
      <w:spacing w:before="120"/>
    </w:pPr>
    <w:rPr>
      <w:rFonts w:eastAsia="Times New Roman"/>
      <w:i/>
    </w:rPr>
  </w:style>
  <w:style w:type="character" w:styleId="CommentReference">
    <w:name w:val="annotation reference"/>
    <w:uiPriority w:val="99"/>
    <w:semiHidden/>
    <w:unhideWhenUsed/>
    <w:rsid w:val="00146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C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46AC4"/>
    <w:rPr>
      <w:rFonts w:ascii="Arial" w:hAnsi="Arial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6AC4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 WRITING STYLE GUIDE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 WRITING STYLE GUIDE</dc:title>
  <dc:subject/>
  <dc:creator>AshMac</dc:creator>
  <cp:keywords/>
  <cp:lastModifiedBy>Greg Ashbaugh</cp:lastModifiedBy>
  <cp:revision>5</cp:revision>
  <cp:lastPrinted>2014-03-28T23:08:00Z</cp:lastPrinted>
  <dcterms:created xsi:type="dcterms:W3CDTF">2020-02-07T20:26:00Z</dcterms:created>
  <dcterms:modified xsi:type="dcterms:W3CDTF">2020-02-07T20:33:00Z</dcterms:modified>
</cp:coreProperties>
</file>